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5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6"/>
        <w:gridCol w:w="1892"/>
        <w:gridCol w:w="2074"/>
        <w:gridCol w:w="1893"/>
        <w:gridCol w:w="1893"/>
        <w:gridCol w:w="1871"/>
        <w:gridCol w:w="19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附件3-1</w:t>
            </w: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textAlignment w:val="bottom"/>
              <w:rPr>
                <w:rFonts w:ascii="方正小标宋_GBK" w:hAnsi="方正小标宋_GBK" w:eastAsia="方正小标宋_GBK" w:cs="方正小标宋_GBK"/>
                <w:color w:val="000000"/>
                <w:sz w:val="44"/>
                <w:szCs w:val="44"/>
              </w:rPr>
            </w:pPr>
            <w:r>
              <w:rPr>
                <w:rFonts w:hint="eastAsia" w:eastAsia="方正小标宋_GBK"/>
                <w:kern w:val="0"/>
                <w:sz w:val="36"/>
                <w:szCs w:val="36"/>
              </w:rPr>
              <w:t>中共重庆市梁平区委党校财政拨款收支总表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right"/>
              <w:textAlignment w:val="bottom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4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收入</w:t>
            </w:r>
          </w:p>
        </w:tc>
        <w:tc>
          <w:tcPr>
            <w:tcW w:w="97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24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项目</w:t>
            </w:r>
          </w:p>
        </w:tc>
        <w:tc>
          <w:tcPr>
            <w:tcW w:w="19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预算数</w:t>
            </w:r>
          </w:p>
        </w:tc>
        <w:tc>
          <w:tcPr>
            <w:tcW w:w="20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项目</w:t>
            </w:r>
          </w:p>
        </w:tc>
        <w:tc>
          <w:tcPr>
            <w:tcW w:w="19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92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一般公共预算财政拨款</w:t>
            </w:r>
          </w:p>
        </w:tc>
        <w:tc>
          <w:tcPr>
            <w:tcW w:w="19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政府性基金预算财政拨款</w:t>
            </w:r>
          </w:p>
        </w:tc>
        <w:tc>
          <w:tcPr>
            <w:tcW w:w="193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国有资本经营预算财政拨款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一、本年收入</w:t>
            </w:r>
          </w:p>
        </w:tc>
        <w:tc>
          <w:tcPr>
            <w:tcW w:w="192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632.03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一、本年支出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632.03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632.03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一般公共预算拨款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632.03</w:t>
            </w:r>
          </w:p>
        </w:tc>
        <w:tc>
          <w:tcPr>
            <w:tcW w:w="2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一般公共服务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政府性基金预算拨款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教育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487.08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487.08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国有资本经营预算拨款</w:t>
            </w:r>
          </w:p>
        </w:tc>
        <w:tc>
          <w:tcPr>
            <w:tcW w:w="19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社会保障和就业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93.89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93.89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二、上年结转</w:t>
            </w:r>
          </w:p>
        </w:tc>
        <w:tc>
          <w:tcPr>
            <w:tcW w:w="192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卫生健康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26.40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26.40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一般公共预算拨款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节能环保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政府性基金预算拨款</w:t>
            </w:r>
          </w:p>
        </w:tc>
        <w:tc>
          <w:tcPr>
            <w:tcW w:w="1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城乡社区事务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国有资本经营预算拨款</w:t>
            </w:r>
          </w:p>
        </w:tc>
        <w:tc>
          <w:tcPr>
            <w:tcW w:w="19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住房保障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24.66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24.66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二、结转下年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收入总数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632.03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支出总数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632.03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632.03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>
      <w:pPr>
        <w:rPr>
          <w:rFonts w:eastAsia="方正黑体_GBK"/>
          <w:sz w:val="32"/>
          <w:szCs w:val="32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docGrid w:type="lines" w:linePitch="319" w:charSpace="0"/>
        </w:sect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bCs/>
          <w:color w:val="000000"/>
          <w:kern w:val="0"/>
          <w:sz w:val="36"/>
          <w:szCs w:val="36"/>
        </w:rPr>
        <w:t>附件3-2</w:t>
      </w:r>
    </w:p>
    <w:tbl>
      <w:tblPr>
        <w:tblStyle w:val="4"/>
        <w:tblW w:w="955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3185"/>
        <w:gridCol w:w="1417"/>
        <w:gridCol w:w="1635"/>
        <w:gridCol w:w="1559"/>
        <w:gridCol w:w="5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napToGrid w:val="0"/>
              <w:spacing w:line="560" w:lineRule="exact"/>
              <w:jc w:val="center"/>
              <w:rPr>
                <w:rFonts w:eastAsia="方正小标宋_GBK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kern w:val="0"/>
                <w:sz w:val="36"/>
                <w:szCs w:val="36"/>
              </w:rPr>
              <w:t>中共重庆市梁平区委党校</w:t>
            </w:r>
          </w:p>
          <w:p>
            <w:pPr>
              <w:widowControl/>
              <w:snapToGrid w:val="0"/>
              <w:spacing w:line="560" w:lineRule="exact"/>
              <w:jc w:val="center"/>
              <w:rPr>
                <w:rFonts w:eastAsia="方正小标宋_GBK"/>
                <w:kern w:val="0"/>
                <w:sz w:val="36"/>
                <w:szCs w:val="36"/>
              </w:rPr>
            </w:pPr>
            <w:r>
              <w:rPr>
                <w:rFonts w:eastAsia="方正小标宋_GBK"/>
                <w:kern w:val="0"/>
                <w:sz w:val="36"/>
                <w:szCs w:val="36"/>
              </w:rPr>
              <w:t>一般公共预算财政拨款支出预算表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57" w:type="dxa"/>
            <w:gridSpan w:val="6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7700" w:firstLineChars="3500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4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功能分类科目</w:t>
            </w:r>
          </w:p>
        </w:tc>
        <w:tc>
          <w:tcPr>
            <w:tcW w:w="4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2022年预算数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小计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632.03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542.02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90.01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205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教育支出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487.08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399.08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20508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 进修及培训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487.08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399.08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2050802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  干部教育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487.08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399.08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208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社会保障和就业支出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91.88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91.88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20805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行政事业单位离退休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91.88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91.88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2080501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行政单位离退休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31.92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31.92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2080502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事业单位离退休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10.64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10.64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2080505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机关事业单位基本养老保险缴费支出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32.88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32.88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2080506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机关事业单位职业年金缴费支出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16.44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16.44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20808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抚恤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2.01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2080801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死亡抚恤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2.01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210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其他卫生健康管理事务支出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26.40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26.40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21011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 行政事业单位医疗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26.40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26.40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2101101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  行政单位医疗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8.05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8.05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2101102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  事业单位医疗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11.47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11.47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2101199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  其他行政事业单位医疗支出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6.88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6.88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221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住房保障支出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24.66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24.66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22102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 住房改革支出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24.66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24.66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2210201</w:t>
            </w: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  住房公积金</w:t>
            </w: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24.66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24.66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righ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1" w:type="dxa"/>
          <w:trHeight w:val="270" w:hRule="atLeast"/>
          <w:jc w:val="center"/>
        </w:trPr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3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24"/>
        </w:rPr>
      </w:pPr>
      <w:r>
        <w:rPr>
          <w:rFonts w:eastAsia="方正仿宋_GBK"/>
          <w:color w:val="000000"/>
          <w:sz w:val="24"/>
        </w:rPr>
        <w:t>备注：本表反映2022年当年一般公共预算财政拨款支出情况。</w:t>
      </w: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44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附件3-3</w:t>
      </w:r>
    </w:p>
    <w:tbl>
      <w:tblPr>
        <w:tblStyle w:val="4"/>
        <w:tblW w:w="908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9"/>
        <w:gridCol w:w="3718"/>
        <w:gridCol w:w="1536"/>
        <w:gridCol w:w="1299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中共重庆市梁平区委党校</w:t>
            </w:r>
          </w:p>
          <w:p>
            <w:pPr>
              <w:widowControl/>
              <w:spacing w:line="440" w:lineRule="exact"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一般公共预算财政拨款基本支出预算表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087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经济分类科目</w:t>
            </w:r>
          </w:p>
        </w:tc>
        <w:tc>
          <w:tcPr>
            <w:tcW w:w="4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2022年基本支出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人员经费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公用经费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542.02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483.26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58.76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437.47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437.47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30101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基本工资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107.50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107.50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30102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津贴补贴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35.62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35.62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30103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奖金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45.23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45.23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30107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绩效工资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133.88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133.88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30108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机关事业单位基本养老保险缴费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32.88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32.88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30109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职业年金缴费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16.44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16.44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30110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职工基本医疗保险缴费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23.20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23.20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30112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其他社会保障缴费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1.64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1.64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30113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住房公积金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24.66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24.66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30199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其他工资福利支出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16.42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16.42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302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商品和服务支出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58.76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58.76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30201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办公费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10.90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10.90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30205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水费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30206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电费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30207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邮电费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30209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物业管理费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30211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国内差旅费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30213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维修(护)费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30216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培训费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1.94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30217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公务接待费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0.50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0.50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30226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劳务费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1.00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30228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工会经费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2.47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30229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福利费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3.09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30231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公务用车运行维护费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2.50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30239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其他交通费用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9.36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9.36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303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对个人和家庭的补助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45.79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45.79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30305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生活补助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42.56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42.56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30307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医疗费补助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3.20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3.20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2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30309</w:t>
            </w:r>
          </w:p>
        </w:tc>
        <w:tc>
          <w:tcPr>
            <w:tcW w:w="3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奖励金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0.03</w:t>
            </w:r>
          </w:p>
        </w:tc>
        <w:tc>
          <w:tcPr>
            <w:tcW w:w="12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0.03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widowControl/>
        <w:snapToGrid w:val="0"/>
        <w:spacing w:after="240" w:afterLines="100" w:line="560" w:lineRule="exact"/>
        <w:jc w:val="left"/>
        <w:rPr>
          <w:rFonts w:eastAsia="方正黑体_GBK"/>
          <w:kern w:val="0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spacing w:after="240" w:afterLines="100"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附件3-4</w:t>
      </w:r>
    </w:p>
    <w:tbl>
      <w:tblPr>
        <w:tblStyle w:val="4"/>
        <w:tblW w:w="98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1479"/>
        <w:gridCol w:w="1522"/>
        <w:gridCol w:w="1984"/>
        <w:gridCol w:w="1985"/>
        <w:gridCol w:w="1482"/>
        <w:gridCol w:w="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660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spacing w:line="440" w:lineRule="exact"/>
              <w:jc w:val="center"/>
              <w:rPr>
                <w:rFonts w:eastAsia="方正仿宋_GBK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中共重庆市梁平区委党校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一般公共预算“三公”经费支出表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4" w:type="dxa"/>
          <w:trHeight w:val="808" w:hRule="atLeast"/>
          <w:jc w:val="center"/>
        </w:trPr>
        <w:tc>
          <w:tcPr>
            <w:tcW w:w="977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560" w:lineRule="exact"/>
              <w:jc w:val="right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9842" w:type="dxa"/>
            <w:gridSpan w:val="7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2022年预算数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26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合计</w:t>
            </w:r>
          </w:p>
        </w:tc>
        <w:tc>
          <w:tcPr>
            <w:tcW w:w="1479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因公出国（境）费</w:t>
            </w:r>
          </w:p>
        </w:tc>
        <w:tc>
          <w:tcPr>
            <w:tcW w:w="5491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公务用车购置及运行费</w:t>
            </w:r>
          </w:p>
        </w:tc>
        <w:tc>
          <w:tcPr>
            <w:tcW w:w="1546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26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479" w:type="dxa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  <w:tc>
          <w:tcPr>
            <w:tcW w:w="1522" w:type="dxa"/>
            <w:shd w:val="clear" w:color="auto" w:fill="auto"/>
            <w:noWrap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小计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公务用车购置费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  <w:r>
              <w:rPr>
                <w:rFonts w:eastAsia="方正仿宋_GBK"/>
                <w:bCs/>
                <w:kern w:val="0"/>
                <w:sz w:val="24"/>
                <w:szCs w:val="22"/>
              </w:rPr>
              <w:t>公务用车运行费</w:t>
            </w:r>
          </w:p>
        </w:tc>
        <w:tc>
          <w:tcPr>
            <w:tcW w:w="1546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snapToGrid w:val="0"/>
              <w:jc w:val="center"/>
              <w:rPr>
                <w:rFonts w:eastAsia="方正仿宋_GBK"/>
                <w:bCs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32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3.00</w:t>
            </w:r>
          </w:p>
        </w:tc>
        <w:tc>
          <w:tcPr>
            <w:tcW w:w="1479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2.50</w:t>
            </w:r>
          </w:p>
        </w:tc>
        <w:tc>
          <w:tcPr>
            <w:tcW w:w="1984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2.50</w:t>
            </w:r>
          </w:p>
        </w:tc>
        <w:tc>
          <w:tcPr>
            <w:tcW w:w="154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0.50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  <w:sectPr>
          <w:pgSz w:w="11906" w:h="16838"/>
          <w:pgMar w:top="1588" w:right="1531" w:bottom="1588" w:left="1531" w:header="851" w:footer="851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附件3-5</w:t>
      </w:r>
    </w:p>
    <w:tbl>
      <w:tblPr>
        <w:tblStyle w:val="4"/>
        <w:tblW w:w="133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7348"/>
        <w:gridCol w:w="1440"/>
        <w:gridCol w:w="1418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中共重庆市梁平区委党校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政府性基金预算支出表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324" w:type="dxa"/>
            <w:gridSpan w:val="5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7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42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本年政府性基金预算财政拨款支出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bCs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7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7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snapToGrid w:val="0"/>
        <w:spacing w:line="560" w:lineRule="exact"/>
        <w:ind w:firstLine="240" w:firstLineChars="100"/>
        <w:jc w:val="left"/>
        <w:rPr>
          <w:rFonts w:eastAsia="方正仿宋_GBK"/>
          <w:kern w:val="0"/>
          <w:sz w:val="24"/>
        </w:rPr>
        <w:sectPr>
          <w:pgSz w:w="16838" w:h="11906" w:orient="landscape"/>
          <w:pgMar w:top="1361" w:right="1361" w:bottom="1361" w:left="1361" w:header="851" w:footer="850" w:gutter="0"/>
          <w:cols w:space="425" w:num="1"/>
          <w:docGrid w:linePitch="312" w:charSpace="0"/>
        </w:sectPr>
      </w:pPr>
      <w:r>
        <w:rPr>
          <w:rFonts w:eastAsia="方正仿宋_GBK"/>
          <w:kern w:val="0"/>
          <w:sz w:val="24"/>
        </w:rPr>
        <w:t>备注：本单位无政府性基金收支，故此表无数据。</w:t>
      </w: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附件3-6</w:t>
      </w:r>
    </w:p>
    <w:tbl>
      <w:tblPr>
        <w:tblStyle w:val="4"/>
        <w:tblW w:w="95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2"/>
        <w:gridCol w:w="1445"/>
        <w:gridCol w:w="2976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中共重庆市梁平区委党校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部门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收支总表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513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2530" w:firstLineChars="115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收入</w:t>
            </w:r>
          </w:p>
        </w:tc>
        <w:tc>
          <w:tcPr>
            <w:tcW w:w="45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预算数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一般公共预算拨款收入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632.03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一般公共服务支出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政府性基金预算拨款收入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公共安全支出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国有资本经营预算拨款收入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教育支出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487.08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事业收入预算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社会保障和就业支出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93.89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事业单位经营收入预算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医疗卫生与计划生育支出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26.40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其他收入预算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住房保障支出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24.66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本年收入合计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632.03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本年支出合计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632.03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用事业基金弥补收支差额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结转下年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上年结转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收入总计</w:t>
            </w:r>
          </w:p>
        </w:tc>
        <w:tc>
          <w:tcPr>
            <w:tcW w:w="1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632.03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支出总计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632.03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1906" w:h="16838"/>
          <w:pgMar w:top="1361" w:right="1361" w:bottom="1361" w:left="1361" w:header="851" w:footer="850" w:gutter="0"/>
          <w:cols w:space="425" w:num="1"/>
          <w:docGrid w:linePitch="312" w:charSpace="0"/>
        </w:sectPr>
      </w:pPr>
    </w:p>
    <w:p>
      <w:pPr>
        <w:widowControl/>
        <w:snapToGrid w:val="0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附件3-7</w:t>
      </w:r>
    </w:p>
    <w:tbl>
      <w:tblPr>
        <w:tblStyle w:val="4"/>
        <w:tblW w:w="1447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3855"/>
        <w:gridCol w:w="1050"/>
        <w:gridCol w:w="735"/>
        <w:gridCol w:w="960"/>
        <w:gridCol w:w="990"/>
        <w:gridCol w:w="1065"/>
        <w:gridCol w:w="960"/>
        <w:gridCol w:w="915"/>
        <w:gridCol w:w="975"/>
        <w:gridCol w:w="900"/>
        <w:gridCol w:w="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中共重庆市梁平区委党校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部门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收入总表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1447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 w:firstLine="880" w:firstLineChars="40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</w:t>
            </w:r>
          </w:p>
        </w:tc>
        <w:tc>
          <w:tcPr>
            <w:tcW w:w="1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上年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结转</w:t>
            </w:r>
          </w:p>
        </w:tc>
        <w:tc>
          <w:tcPr>
            <w:tcW w:w="9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一般公共预算拨款收入</w:t>
            </w:r>
          </w:p>
        </w:tc>
        <w:tc>
          <w:tcPr>
            <w:tcW w:w="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政府性基金预算拨款收入</w:t>
            </w:r>
          </w:p>
        </w:tc>
        <w:tc>
          <w:tcPr>
            <w:tcW w:w="10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国有资本经营预算拨款收入</w:t>
            </w:r>
          </w:p>
        </w:tc>
        <w:tc>
          <w:tcPr>
            <w:tcW w:w="18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事业收入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事业单位经营收入预算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其他收入预算</w:t>
            </w:r>
          </w:p>
        </w:tc>
        <w:tc>
          <w:tcPr>
            <w:tcW w:w="9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非教育收费收入预算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教育收费预算收入</w:t>
            </w:r>
          </w:p>
        </w:tc>
        <w:tc>
          <w:tcPr>
            <w:tcW w:w="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632.03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632.03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205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>教育支出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487.08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487.08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20508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 xml:space="preserve">  进修及培训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487.08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487.08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2050802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干部教育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487.08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487.08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208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>社会保障和就业支出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93.89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93.89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20805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 xml:space="preserve">  行政事业单位离退休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91.88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91.88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2080501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行政单位离退休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31.92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31.92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2080502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事业单位离退休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10.64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10.64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2080505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机关事业单位基本养老保险缴费支出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32.88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32.88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2080506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机关事业单位职业年金缴费支出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16.44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16.44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20808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>抚恤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2.01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2.01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2080801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死亡抚恤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2.01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2.01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210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>其他卫生健康管理事务支出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26.40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26.40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21011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 xml:space="preserve">  行政事业单位医疗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26.40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26.40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2101101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行政单位医疗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8.05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8.05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2101102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事业单位医疗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11.47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11.47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2101199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其他行政事业单位医疗支出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6.88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6.88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221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left"/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>住房保障支出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24.66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24.66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22102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 xml:space="preserve">  住房改革支出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24.66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24.66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2210201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住房公积金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24.66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24.66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黑体_GBK"/>
          <w:kern w:val="0"/>
          <w:sz w:val="32"/>
          <w:szCs w:val="32"/>
        </w:rPr>
        <w:sectPr>
          <w:pgSz w:w="16838" w:h="11906" w:orient="landscape"/>
          <w:pgMar w:top="567" w:right="1361" w:bottom="567" w:left="1361" w:header="851" w:footer="850" w:gutter="0"/>
          <w:cols w:space="0" w:num="1"/>
          <w:docGrid w:linePitch="312" w:charSpace="0"/>
        </w:sect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附件3-8</w:t>
      </w:r>
    </w:p>
    <w:tbl>
      <w:tblPr>
        <w:tblStyle w:val="4"/>
        <w:tblW w:w="1419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4057"/>
        <w:gridCol w:w="1358"/>
        <w:gridCol w:w="1276"/>
        <w:gridCol w:w="1276"/>
        <w:gridCol w:w="1706"/>
        <w:gridCol w:w="1473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190" w:type="dxa"/>
            <w:gridSpan w:val="8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中共重庆市梁平区委党校</w:t>
            </w: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  <w:lang w:eastAsia="zh-CN"/>
              </w:rPr>
              <w:t>部门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支出总表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19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right="440"/>
              <w:jc w:val="right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科目编码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科目名称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项目支出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上缴上级支出</w:t>
            </w: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事业单位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经营支出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对下级单</w:t>
            </w:r>
          </w:p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位补助支出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632.03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542.02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90.01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>教育支出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487.08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399.08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88.00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20508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 xml:space="preserve">  进修及培训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487.08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399.08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88.00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2050802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干部教育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487.08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399.08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88.00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208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>社会保障和就业支出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91.88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91.88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20805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 xml:space="preserve">  行政事业单位离退休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91.88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91.88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2080501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行政单位离退休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31.92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31.92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2080502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事业单位离退休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10.64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10.64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2080505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机关事业单位基本养老保险缴费支出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32.88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32.88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2080506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机关事业单位职业年金缴费支出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16.44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16.44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20808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 xml:space="preserve">  抚恤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2.01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2080801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死亡抚恤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2.01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210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>其他卫生健康管理事务支出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26.40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26.40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21011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 xml:space="preserve">  行政事业单位医疗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26.40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26.40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2101101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行政单位医疗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8.05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8.05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2101102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事业单位医疗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11.47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11.47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2101199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其他行政事业单位医疗支出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6.88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6.88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221</w:t>
            </w:r>
          </w:p>
        </w:tc>
        <w:tc>
          <w:tcPr>
            <w:tcW w:w="40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>住房保障支出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24.66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24.66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  <w:r>
              <w:rPr>
                <w:rFonts w:eastAsia="方正仿宋_GBK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22102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0"/>
              </w:rPr>
            </w:pPr>
            <w:r>
              <w:rPr>
                <w:rFonts w:hint="eastAsia" w:ascii="宋体" w:hAnsi="宋体"/>
                <w:b/>
                <w:color w:val="000000"/>
                <w:sz w:val="20"/>
              </w:rPr>
              <w:t xml:space="preserve">  住房改革支出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24.66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24.66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2210201</w:t>
            </w:r>
          </w:p>
        </w:tc>
        <w:tc>
          <w:tcPr>
            <w:tcW w:w="4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/>
                <w:color w:val="000000"/>
                <w:sz w:val="20"/>
              </w:rPr>
            </w:pPr>
            <w:r>
              <w:rPr>
                <w:rFonts w:hint="eastAsia" w:ascii="宋体" w:hAnsi="宋体"/>
                <w:color w:val="000000"/>
                <w:sz w:val="20"/>
              </w:rPr>
              <w:t xml:space="preserve">    住房公积金</w:t>
            </w:r>
          </w:p>
        </w:tc>
        <w:tc>
          <w:tcPr>
            <w:tcW w:w="13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24.66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24.66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Align w:val="center"/>
          </w:tcPr>
          <w:p>
            <w:pPr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0" w:type="auto"/>
            <w:vAlign w:val="center"/>
          </w:tcPr>
          <w:p>
            <w:pPr>
              <w:rPr>
                <w:rFonts w:ascii="宋体" w:hAnsi="宋体"/>
                <w:color w:val="000000"/>
                <w:sz w:val="20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0" w:type="auto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</w:tcPr>
          <w:p>
            <w:pPr>
              <w:widowControl/>
              <w:jc w:val="center"/>
              <w:rPr>
                <w:rFonts w:eastAsia="方正仿宋_GBK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附件3-9</w:t>
      </w:r>
    </w:p>
    <w:tbl>
      <w:tblPr>
        <w:tblStyle w:val="4"/>
        <w:tblW w:w="1445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01"/>
        <w:gridCol w:w="1126"/>
        <w:gridCol w:w="1200"/>
        <w:gridCol w:w="1340"/>
        <w:gridCol w:w="1579"/>
        <w:gridCol w:w="1281"/>
        <w:gridCol w:w="1080"/>
        <w:gridCol w:w="1182"/>
        <w:gridCol w:w="993"/>
        <w:gridCol w:w="1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45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bCs/>
                <w:color w:val="000000"/>
                <w:kern w:val="0"/>
                <w:sz w:val="36"/>
                <w:szCs w:val="36"/>
              </w:rPr>
              <w:t>中共重庆市梁平区委党校</w:t>
            </w: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政府采购预算明细表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1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上年结转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一般公共预算拨款收入</w:t>
            </w:r>
          </w:p>
        </w:tc>
        <w:tc>
          <w:tcPr>
            <w:tcW w:w="13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政府性基金预算拨款收入</w:t>
            </w: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国有资本经营预算拨款收入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事业收入预算</w:t>
            </w:r>
          </w:p>
        </w:tc>
        <w:tc>
          <w:tcPr>
            <w:tcW w:w="11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事业单位经营收入预算</w:t>
            </w:r>
          </w:p>
        </w:tc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其他收入预算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用事业基金弥补收支差额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7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3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非教育收费收入预算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教育收费收入预算</w:t>
            </w:r>
          </w:p>
        </w:tc>
        <w:tc>
          <w:tcPr>
            <w:tcW w:w="11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合计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货物类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服务类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7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工程类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  <w:r>
        <w:rPr>
          <w:rFonts w:hint="eastAsia" w:eastAsia="方正仿宋_GBK"/>
          <w:color w:val="000000"/>
          <w:sz w:val="32"/>
          <w:szCs w:val="32"/>
        </w:rPr>
        <w:t>备注：本单位无政府采购预算，故此表无数据。</w:t>
      </w:r>
    </w:p>
    <w:p>
      <w:pPr>
        <w:adjustRightInd w:val="0"/>
        <w:snapToGrid w:val="0"/>
        <w:spacing w:line="594" w:lineRule="exact"/>
        <w:rPr>
          <w:rFonts w:hint="eastAsia"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hint="eastAsia" w:eastAsia="方正仿宋_GBK"/>
          <w:color w:val="000000"/>
          <w:sz w:val="32"/>
          <w:szCs w:val="32"/>
        </w:rPr>
      </w:pPr>
    </w:p>
    <w:p>
      <w:pPr>
        <w:adjustRightInd w:val="0"/>
        <w:snapToGrid w:val="0"/>
        <w:spacing w:line="594" w:lineRule="exact"/>
        <w:rPr>
          <w:rFonts w:eastAsia="方正仿宋_GBK"/>
          <w:color w:val="00000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附件3-10</w:t>
      </w:r>
    </w:p>
    <w:tbl>
      <w:tblPr>
        <w:tblStyle w:val="4"/>
        <w:tblW w:w="1390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8"/>
        <w:gridCol w:w="2909"/>
        <w:gridCol w:w="2469"/>
        <w:gridCol w:w="2469"/>
        <w:gridCol w:w="2469"/>
        <w:gridCol w:w="19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139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  <w:t>2022年部门预算整体绩效目标表</w:t>
            </w:r>
          </w:p>
          <w:tbl>
            <w:tblPr>
              <w:tblStyle w:val="4"/>
              <w:tblW w:w="28471" w:type="dxa"/>
              <w:tblInd w:w="0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58"/>
              <w:gridCol w:w="865"/>
              <w:gridCol w:w="709"/>
              <w:gridCol w:w="850"/>
              <w:gridCol w:w="1559"/>
              <w:gridCol w:w="1418"/>
              <w:gridCol w:w="1134"/>
              <w:gridCol w:w="1276"/>
              <w:gridCol w:w="1559"/>
              <w:gridCol w:w="1701"/>
              <w:gridCol w:w="1559"/>
              <w:gridCol w:w="1418"/>
              <w:gridCol w:w="1080"/>
              <w:gridCol w:w="915"/>
              <w:gridCol w:w="165"/>
              <w:gridCol w:w="1080"/>
              <w:gridCol w:w="750"/>
              <w:gridCol w:w="1995"/>
              <w:gridCol w:w="1995"/>
              <w:gridCol w:w="1995"/>
              <w:gridCol w:w="1995"/>
              <w:gridCol w:w="199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0"/>
                <w:wAfter w:w="13965" w:type="dxa"/>
                <w:trHeight w:val="443" w:hRule="atLeast"/>
              </w:trPr>
              <w:tc>
                <w:tcPr>
                  <w:tcW w:w="1323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总体资金情况（万元）</w:t>
                  </w:r>
                </w:p>
              </w:tc>
              <w:tc>
                <w:tcPr>
                  <w:tcW w:w="1559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预算支出总额</w:t>
                  </w:r>
                </w:p>
              </w:tc>
              <w:tc>
                <w:tcPr>
                  <w:tcW w:w="5387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基本支出</w:t>
                  </w:r>
                </w:p>
              </w:tc>
              <w:tc>
                <w:tcPr>
                  <w:tcW w:w="6237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项目支出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0"/>
                <w:wAfter w:w="13965" w:type="dxa"/>
                <w:trHeight w:val="443" w:hRule="atLeast"/>
              </w:trPr>
              <w:tc>
                <w:tcPr>
                  <w:tcW w:w="132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合计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财政拨款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专户资金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单位资金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合计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财政拨款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专户资金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单位资金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0"/>
                <w:wAfter w:w="13965" w:type="dxa"/>
                <w:trHeight w:val="527" w:hRule="atLeast"/>
              </w:trPr>
              <w:tc>
                <w:tcPr>
                  <w:tcW w:w="1323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/>
                      <w:sz w:val="28"/>
                    </w:rPr>
                  </w:pPr>
                  <w:r>
                    <w:rPr>
                      <w:rFonts w:hint="eastAsia" w:ascii="宋体" w:hAnsi="宋体"/>
                      <w:color w:val="000000"/>
                      <w:sz w:val="28"/>
                    </w:rPr>
                    <w:t>632.03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/>
                      <w:sz w:val="28"/>
                    </w:rPr>
                  </w:pPr>
                  <w:r>
                    <w:rPr>
                      <w:rFonts w:hint="eastAsia" w:ascii="宋体" w:hAnsi="宋体"/>
                      <w:color w:val="000000"/>
                      <w:sz w:val="28"/>
                    </w:rPr>
                    <w:t>632.03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/>
                      <w:sz w:val="28"/>
                    </w:rPr>
                  </w:pPr>
                  <w:r>
                    <w:rPr>
                      <w:rFonts w:hint="eastAsia" w:ascii="宋体" w:hAnsi="宋体"/>
                      <w:color w:val="000000"/>
                      <w:sz w:val="28"/>
                    </w:rPr>
                    <w:t>542.02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/>
                      <w:sz w:val="28"/>
                    </w:rPr>
                  </w:pP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/>
                      <w:sz w:val="28"/>
                    </w:rPr>
                  </w:pP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/>
                      <w:sz w:val="28"/>
                    </w:rPr>
                  </w:pP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/>
                      <w:sz w:val="28"/>
                    </w:rPr>
                  </w:pPr>
                  <w:r>
                    <w:rPr>
                      <w:rFonts w:hint="eastAsia" w:ascii="宋体" w:hAnsi="宋体"/>
                      <w:color w:val="000000"/>
                      <w:sz w:val="28"/>
                    </w:rPr>
                    <w:t>90.01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80" w:hRule="atLeast"/>
              </w:trPr>
              <w:tc>
                <w:tcPr>
                  <w:tcW w:w="458" w:type="dxa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部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门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整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体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绩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效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情</w:t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br w:type="textWrapping"/>
                  </w: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4"/>
                    </w:rPr>
                    <w:t>况</w:t>
                  </w: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整体绩效目标</w:t>
                  </w:r>
                </w:p>
              </w:tc>
              <w:tc>
                <w:tcPr>
                  <w:tcW w:w="12474" w:type="dxa"/>
                  <w:gridSpan w:val="9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ind w:firstLine="440" w:firstLineChars="200"/>
                    <w:rPr>
                      <w:rFonts w:ascii="Arial" w:hAnsi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 w:ascii="Arial" w:hAnsi="Arial"/>
                      <w:color w:val="000000"/>
                      <w:sz w:val="22"/>
                      <w:szCs w:val="22"/>
                    </w:rPr>
                    <w:t>围绕党的路线方针政策和全区经济社会发展大局，培训党员领导干部、后备干部、公务员和专业技术人员；承办区委、区政府举办的专题研讨班；围绕国际国内出现的新情况新问题，以及全区改革开放和现代化建设进程中的重大理论和现实问题，开展科学研究，培养理论干部，加强理论宣传；按照国家有关法规政策，开展多种形式的干部继续教育。</w:t>
                  </w:r>
                </w:p>
              </w:tc>
              <w:tc>
                <w:tcPr>
                  <w:tcW w:w="1995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jc w:val="left"/>
                    <w:rPr>
                      <w:rFonts w:ascii="Arial" w:hAnsi="Arial"/>
                      <w:color w:val="000000"/>
                      <w:sz w:val="28"/>
                    </w:rPr>
                  </w:pPr>
                </w:p>
              </w:tc>
              <w:tc>
                <w:tcPr>
                  <w:tcW w:w="1995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jc w:val="left"/>
                    <w:rPr>
                      <w:rFonts w:ascii="Arial" w:hAnsi="Arial"/>
                      <w:color w:val="000000"/>
                      <w:sz w:val="28"/>
                    </w:rPr>
                  </w:pPr>
                </w:p>
              </w:tc>
              <w:tc>
                <w:tcPr>
                  <w:tcW w:w="199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jc w:val="left"/>
                    <w:rPr>
                      <w:rFonts w:ascii="Arial" w:hAnsi="Arial"/>
                      <w:color w:val="000000"/>
                      <w:sz w:val="28"/>
                    </w:rPr>
                  </w:pPr>
                </w:p>
              </w:tc>
              <w:tc>
                <w:tcPr>
                  <w:tcW w:w="199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jc w:val="left"/>
                    <w:rPr>
                      <w:rFonts w:ascii="Arial" w:hAnsi="Arial"/>
                      <w:color w:val="000000"/>
                      <w:sz w:val="28"/>
                    </w:rPr>
                  </w:pPr>
                </w:p>
              </w:tc>
              <w:tc>
                <w:tcPr>
                  <w:tcW w:w="199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jc w:val="left"/>
                    <w:rPr>
                      <w:rFonts w:ascii="Arial" w:hAnsi="Arial"/>
                      <w:color w:val="000000"/>
                      <w:sz w:val="28"/>
                    </w:rPr>
                  </w:pPr>
                </w:p>
              </w:tc>
              <w:tc>
                <w:tcPr>
                  <w:tcW w:w="199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jc w:val="left"/>
                    <w:rPr>
                      <w:rFonts w:ascii="Arial" w:hAnsi="Arial"/>
                      <w:color w:val="000000"/>
                      <w:sz w:val="28"/>
                    </w:rPr>
                  </w:pPr>
                </w:p>
              </w:tc>
              <w:tc>
                <w:tcPr>
                  <w:tcW w:w="199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</w:tcPr>
                <w:p>
                  <w:pPr>
                    <w:jc w:val="left"/>
                    <w:rPr>
                      <w:rFonts w:ascii="Arial" w:hAnsi="Arial"/>
                      <w:color w:val="000000"/>
                      <w:sz w:val="28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0"/>
                <w:wAfter w:w="13965" w:type="dxa"/>
                <w:trHeight w:val="600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4048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000000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微软雅黑" w:eastAsia="方正黑体_GBK" w:cs="宋体"/>
                      <w:bCs/>
                      <w:kern w:val="0"/>
                      <w:sz w:val="28"/>
                      <w:szCs w:val="28"/>
                    </w:rPr>
                  </w:pPr>
                  <w:r>
                    <w:rPr>
                      <w:rFonts w:hint="eastAsia" w:ascii="方正黑体_GBK" w:hAnsi="微软雅黑" w:eastAsia="方正黑体_GBK" w:cs="宋体"/>
                      <w:bCs/>
                      <w:kern w:val="0"/>
                      <w:sz w:val="28"/>
                      <w:szCs w:val="28"/>
                    </w:rPr>
                    <w:t>年度绩效指标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0"/>
                <w:wAfter w:w="13965" w:type="dxa"/>
                <w:trHeight w:val="625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方正黑体_GBK" w:hAnsi="宋体" w:eastAsia="方正黑体_GBK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一级指标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二级指标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三级指标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绩效指标性质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绩效指标值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绩效度量单位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  <w:r>
                    <w:rPr>
                      <w:rFonts w:hint="eastAsia" w:ascii="方正黑体_GBK" w:hAnsi="宋体" w:eastAsia="方正黑体_GBK" w:cs="宋体"/>
                      <w:bCs/>
                      <w:color w:val="000000"/>
                      <w:kern w:val="0"/>
                      <w:sz w:val="22"/>
                      <w:szCs w:val="22"/>
                    </w:rPr>
                    <w:t>权重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6"/>
                <w:wAfter w:w="10725" w:type="dxa"/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方正黑体_GBK" w:hAnsi="宋体" w:eastAsia="方正黑体_GBK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产出指标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数量指标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培训人次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≥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5000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人次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30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/>
                      <w:sz w:val="28"/>
                    </w:rPr>
                  </w:pPr>
                  <w:r>
                    <w:rPr>
                      <w:rFonts w:hint="eastAsia" w:ascii="宋体" w:hAnsi="宋体"/>
                      <w:color w:val="000000"/>
                      <w:sz w:val="28"/>
                    </w:rPr>
                    <w:t>3000</w:t>
                  </w:r>
                </w:p>
              </w:tc>
              <w:tc>
                <w:tcPr>
                  <w:tcW w:w="1080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/>
                      <w:sz w:val="28"/>
                    </w:rPr>
                  </w:pPr>
                  <w:r>
                    <w:rPr>
                      <w:rFonts w:hint="eastAsia" w:ascii="宋体" w:hAnsi="宋体"/>
                      <w:color w:val="000000"/>
                      <w:sz w:val="28"/>
                    </w:rPr>
                    <w:t>人次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/>
                      <w:sz w:val="28"/>
                    </w:rPr>
                  </w:pPr>
                  <w:r>
                    <w:rPr>
                      <w:rFonts w:hint="eastAsia" w:ascii="宋体" w:hAnsi="宋体"/>
                      <w:color w:val="000000"/>
                      <w:sz w:val="28"/>
                    </w:rPr>
                    <w:t>30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6"/>
                <w:wAfter w:w="10725" w:type="dxa"/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产出指标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质量指标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培训合格率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≥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98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%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20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/>
                      <w:sz w:val="28"/>
                    </w:rPr>
                  </w:pPr>
                  <w:r>
                    <w:rPr>
                      <w:rFonts w:hint="eastAsia" w:ascii="宋体" w:hAnsi="宋体"/>
                      <w:color w:val="000000"/>
                      <w:sz w:val="28"/>
                    </w:rPr>
                    <w:t>98</w:t>
                  </w:r>
                </w:p>
              </w:tc>
              <w:tc>
                <w:tcPr>
                  <w:tcW w:w="1080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/>
                      <w:sz w:val="28"/>
                    </w:rPr>
                  </w:pPr>
                  <w:r>
                    <w:rPr>
                      <w:rFonts w:hint="eastAsia" w:ascii="宋体" w:hAnsi="宋体"/>
                      <w:color w:val="000000"/>
                      <w:sz w:val="28"/>
                    </w:rPr>
                    <w:t>%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/>
                      <w:sz w:val="28"/>
                    </w:rPr>
                  </w:pPr>
                  <w:r>
                    <w:rPr>
                      <w:rFonts w:hint="eastAsia" w:ascii="宋体" w:hAnsi="宋体"/>
                      <w:color w:val="000000"/>
                      <w:sz w:val="28"/>
                    </w:rPr>
                    <w:t>30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6"/>
                <w:wAfter w:w="10725" w:type="dxa"/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产出指标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时效指标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培训进度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≤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12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月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/>
                      <w:sz w:val="28"/>
                    </w:rPr>
                  </w:pPr>
                  <w:r>
                    <w:rPr>
                      <w:rFonts w:hint="eastAsia" w:ascii="宋体" w:hAnsi="宋体"/>
                      <w:color w:val="000000"/>
                      <w:sz w:val="28"/>
                    </w:rPr>
                    <w:t>12</w:t>
                  </w:r>
                </w:p>
              </w:tc>
              <w:tc>
                <w:tcPr>
                  <w:tcW w:w="1080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/>
                      <w:sz w:val="28"/>
                    </w:rPr>
                  </w:pPr>
                  <w:r>
                    <w:rPr>
                      <w:rFonts w:hint="eastAsia" w:ascii="宋体" w:hAnsi="宋体"/>
                      <w:color w:val="000000"/>
                      <w:sz w:val="28"/>
                    </w:rPr>
                    <w:t>月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/>
                      <w:sz w:val="28"/>
                    </w:rPr>
                  </w:pPr>
                  <w:r>
                    <w:rPr>
                      <w:rFonts w:hint="eastAsia" w:ascii="宋体" w:hAnsi="宋体"/>
                      <w:color w:val="000000"/>
                      <w:sz w:val="28"/>
                    </w:rPr>
                    <w:t>10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6"/>
                <w:wAfter w:w="10725" w:type="dxa"/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效益指标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社会效益指标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项目持续发挥作用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＝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100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%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20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/>
                      <w:sz w:val="28"/>
                    </w:rPr>
                  </w:pPr>
                  <w:r>
                    <w:rPr>
                      <w:rFonts w:hint="eastAsia" w:ascii="宋体" w:hAnsi="宋体"/>
                      <w:color w:val="000000"/>
                      <w:sz w:val="28"/>
                    </w:rPr>
                    <w:t>100</w:t>
                  </w:r>
                </w:p>
              </w:tc>
              <w:tc>
                <w:tcPr>
                  <w:tcW w:w="1080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/>
                      <w:sz w:val="28"/>
                    </w:rPr>
                  </w:pPr>
                  <w:r>
                    <w:rPr>
                      <w:rFonts w:hint="eastAsia" w:ascii="宋体" w:hAnsi="宋体"/>
                      <w:color w:val="000000"/>
                      <w:sz w:val="28"/>
                    </w:rPr>
                    <w:t>%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/>
                      <w:sz w:val="28"/>
                    </w:rPr>
                  </w:pPr>
                  <w:r>
                    <w:rPr>
                      <w:rFonts w:hint="eastAsia" w:ascii="宋体" w:hAnsi="宋体"/>
                      <w:color w:val="000000"/>
                      <w:sz w:val="28"/>
                    </w:rPr>
                    <w:t>10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6"/>
                <w:wAfter w:w="10725" w:type="dxa"/>
                <w:trHeight w:val="567" w:hRule="atLeast"/>
              </w:trPr>
              <w:tc>
                <w:tcPr>
                  <w:tcW w:w="458" w:type="dxa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  <w:tc>
                <w:tcPr>
                  <w:tcW w:w="1574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满意度指标</w:t>
                  </w:r>
                </w:p>
              </w:tc>
              <w:tc>
                <w:tcPr>
                  <w:tcW w:w="2409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服务对象满意度指标</w:t>
                  </w:r>
                </w:p>
              </w:tc>
              <w:tc>
                <w:tcPr>
                  <w:tcW w:w="3828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noWrap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培训学员满意率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color w:val="000000"/>
                      <w:sz w:val="22"/>
                      <w:szCs w:val="22"/>
                    </w:rPr>
                    <w:t>≥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98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%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  <w:szCs w:val="22"/>
                    </w:rPr>
                  </w:pPr>
                  <w:r>
                    <w:rPr>
                      <w:rFonts w:hint="eastAsia"/>
                      <w:color w:val="000000"/>
                      <w:sz w:val="22"/>
                      <w:szCs w:val="22"/>
                    </w:rPr>
                    <w:t>20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/>
                      <w:sz w:val="28"/>
                    </w:rPr>
                  </w:pPr>
                  <w:r>
                    <w:rPr>
                      <w:rFonts w:hint="eastAsia" w:ascii="宋体" w:hAnsi="宋体"/>
                      <w:color w:val="000000"/>
                      <w:sz w:val="28"/>
                    </w:rPr>
                    <w:t>98</w:t>
                  </w:r>
                </w:p>
              </w:tc>
              <w:tc>
                <w:tcPr>
                  <w:tcW w:w="1080" w:type="dxa"/>
                  <w:gridSpan w:val="2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/>
                      <w:sz w:val="28"/>
                    </w:rPr>
                  </w:pPr>
                  <w:r>
                    <w:rPr>
                      <w:rFonts w:hint="eastAsia" w:ascii="宋体" w:hAnsi="宋体"/>
                      <w:color w:val="000000"/>
                      <w:sz w:val="28"/>
                    </w:rPr>
                    <w:t>%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color w:val="000000"/>
                      <w:sz w:val="28"/>
                    </w:rPr>
                  </w:pPr>
                  <w:r>
                    <w:rPr>
                      <w:rFonts w:hint="eastAsia" w:ascii="宋体" w:hAnsi="宋体"/>
                      <w:color w:val="000000"/>
                      <w:sz w:val="28"/>
                    </w:rPr>
                    <w:t>20</w:t>
                  </w:r>
                </w:p>
              </w:tc>
            </w:tr>
          </w:tbl>
          <w:p>
            <w:pPr>
              <w:widowControl/>
              <w:jc w:val="center"/>
              <w:rPr>
                <w:rFonts w:eastAsia="方正小标宋_GBK"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36"/>
                <w:szCs w:val="36"/>
              </w:rPr>
            </w:pPr>
          </w:p>
        </w:tc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kern w:val="0"/>
                <w:sz w:val="22"/>
                <w:szCs w:val="22"/>
              </w:rPr>
            </w:pP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</w:p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</w:pPr>
      <w:r>
        <w:rPr>
          <w:rFonts w:eastAsia="方正仿宋_GBK"/>
          <w:kern w:val="0"/>
          <w:sz w:val="32"/>
          <w:szCs w:val="32"/>
        </w:rPr>
        <w:t>附件3-11</w:t>
      </w:r>
    </w:p>
    <w:p>
      <w:pPr>
        <w:widowControl/>
        <w:snapToGrid w:val="0"/>
        <w:spacing w:line="560" w:lineRule="exact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小标宋_GBK"/>
          <w:bCs/>
          <w:color w:val="000000"/>
          <w:kern w:val="0"/>
          <w:sz w:val="36"/>
          <w:szCs w:val="36"/>
        </w:rPr>
        <w:t>2022年项目绩效目标表</w:t>
      </w:r>
    </w:p>
    <w:tbl>
      <w:tblPr>
        <w:tblStyle w:val="4"/>
        <w:tblpPr w:leftFromText="180" w:rightFromText="180" w:vertAnchor="text" w:horzAnchor="margin" w:tblpY="282"/>
        <w:tblOverlap w:val="never"/>
        <w:tblW w:w="147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276"/>
        <w:gridCol w:w="1417"/>
        <w:gridCol w:w="80"/>
        <w:gridCol w:w="1196"/>
        <w:gridCol w:w="646"/>
        <w:gridCol w:w="630"/>
        <w:gridCol w:w="850"/>
        <w:gridCol w:w="1276"/>
        <w:gridCol w:w="151"/>
        <w:gridCol w:w="983"/>
        <w:gridCol w:w="851"/>
        <w:gridCol w:w="141"/>
        <w:gridCol w:w="567"/>
        <w:gridCol w:w="851"/>
        <w:gridCol w:w="1213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单位信息：</w:t>
            </w:r>
          </w:p>
        </w:tc>
        <w:tc>
          <w:tcPr>
            <w:tcW w:w="2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中共重庆市梁平区委党校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预算项目：</w:t>
            </w:r>
          </w:p>
        </w:tc>
        <w:tc>
          <w:tcPr>
            <w:tcW w:w="29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经常性培训费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职能职责与活动：</w:t>
            </w:r>
          </w:p>
        </w:tc>
        <w:tc>
          <w:tcPr>
            <w:tcW w:w="36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  <w:r>
              <w:rPr>
                <w:rFonts w:ascii="等线" w:hAnsi="等线"/>
                <w:color w:val="000000"/>
                <w:sz w:val="20"/>
                <w:szCs w:val="20"/>
              </w:rPr>
              <w:t>干部教育培训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主管部门：</w:t>
            </w:r>
          </w:p>
        </w:tc>
        <w:tc>
          <w:tcPr>
            <w:tcW w:w="2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中共重庆市梁平区委党校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项目经办人：</w:t>
            </w:r>
          </w:p>
        </w:tc>
        <w:tc>
          <w:tcPr>
            <w:tcW w:w="29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邓兴俊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项目总额：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54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预算执行率权重：</w:t>
            </w:r>
          </w:p>
        </w:tc>
        <w:tc>
          <w:tcPr>
            <w:tcW w:w="2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项目经办人电话：</w:t>
            </w:r>
          </w:p>
        </w:tc>
        <w:tc>
          <w:tcPr>
            <w:tcW w:w="29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15334591899</w:t>
            </w: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其中: 财政资金：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54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年度目标：</w:t>
            </w:r>
          </w:p>
        </w:tc>
        <w:tc>
          <w:tcPr>
            <w:tcW w:w="7522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  围绕党的路线方针政策和全区经济社会发展大局，培训党员领导干部、后备干部、公务员和专业技术人员；承办区委、区政府举办的专题研讨班；围绕国际国内出现的新情况新问题，以及全区改革开放和现代化建设进程中的重大理论和现实问题，开展科学研究，培养理论干部，加强理论宣传；按照国家有关法规政策，开展多种形式的干部继续教育。</w:t>
            </w: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财政专户管理资金：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社会投入资金：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银行贷款：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指标性质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历史参考值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本年指标值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度量单位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权重(%)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本年权重(%)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数量指标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培训人次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≥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人次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质量指标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培训合格率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≥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%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产出指标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时效指标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培训进度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≤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月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反向指标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效益指标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社会效益指标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项目持续发挥作用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＝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%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满意度指标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服务对象满意度指标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培训学员满意率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≥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98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%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20</w:t>
            </w:r>
          </w:p>
        </w:tc>
        <w:tc>
          <w:tcPr>
            <w:tcW w:w="2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正向指标</w:t>
            </w:r>
          </w:p>
        </w:tc>
      </w:tr>
    </w:tbl>
    <w:p>
      <w:pPr>
        <w:widowControl/>
        <w:snapToGrid w:val="0"/>
        <w:spacing w:line="560" w:lineRule="exact"/>
        <w:jc w:val="left"/>
        <w:rPr>
          <w:rFonts w:eastAsia="方正仿宋_GBK"/>
          <w:kern w:val="0"/>
          <w:sz w:val="32"/>
          <w:szCs w:val="32"/>
        </w:rPr>
        <w:sectPr>
          <w:headerReference r:id="rId5" w:type="default"/>
          <w:pgSz w:w="16840" w:h="11907" w:orient="landscape"/>
          <w:pgMar w:top="1134" w:right="1134" w:bottom="1134" w:left="1134" w:header="851" w:footer="851" w:gutter="0"/>
          <w:cols w:space="425" w:num="1"/>
          <w:docGrid w:linePitch="312" w:charSpace="0"/>
        </w:sectPr>
      </w:pPr>
    </w:p>
    <w:p>
      <w:pPr>
        <w:widowControl/>
        <w:snapToGrid w:val="0"/>
        <w:spacing w:line="560" w:lineRule="exact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小标宋_GBK"/>
          <w:bCs/>
          <w:color w:val="000000"/>
          <w:kern w:val="0"/>
          <w:sz w:val="36"/>
          <w:szCs w:val="36"/>
        </w:rPr>
        <w:t>2022年项目绩效目标表</w:t>
      </w:r>
    </w:p>
    <w:tbl>
      <w:tblPr>
        <w:tblStyle w:val="4"/>
        <w:tblpPr w:leftFromText="180" w:rightFromText="180" w:vertAnchor="text" w:horzAnchor="margin" w:tblpY="282"/>
        <w:tblOverlap w:val="never"/>
        <w:tblW w:w="147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355"/>
        <w:gridCol w:w="1338"/>
        <w:gridCol w:w="80"/>
        <w:gridCol w:w="1196"/>
        <w:gridCol w:w="646"/>
        <w:gridCol w:w="630"/>
        <w:gridCol w:w="850"/>
        <w:gridCol w:w="1276"/>
        <w:gridCol w:w="363"/>
        <w:gridCol w:w="771"/>
        <w:gridCol w:w="992"/>
        <w:gridCol w:w="80"/>
        <w:gridCol w:w="487"/>
        <w:gridCol w:w="851"/>
        <w:gridCol w:w="1213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单位信息：</w:t>
            </w:r>
          </w:p>
        </w:tc>
        <w:tc>
          <w:tcPr>
            <w:tcW w:w="2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中共重庆市梁平区委党校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预算项目：</w:t>
            </w:r>
          </w:p>
        </w:tc>
        <w:tc>
          <w:tcPr>
            <w:tcW w:w="31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邓平寿党性教育基地维护管理费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职能职责与活动：</w:t>
            </w:r>
          </w:p>
        </w:tc>
        <w:tc>
          <w:tcPr>
            <w:tcW w:w="340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  <w:r>
              <w:rPr>
                <w:rFonts w:ascii="等线" w:hAnsi="等线"/>
                <w:color w:val="000000"/>
                <w:sz w:val="20"/>
                <w:szCs w:val="20"/>
              </w:rPr>
              <w:t>邓平寿党性教育基地维护管理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主管部门：</w:t>
            </w:r>
          </w:p>
        </w:tc>
        <w:tc>
          <w:tcPr>
            <w:tcW w:w="2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中共重庆市梁平区委党校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项目经办人：</w:t>
            </w:r>
          </w:p>
        </w:tc>
        <w:tc>
          <w:tcPr>
            <w:tcW w:w="31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邓兴俊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项目总额：</w:t>
            </w: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30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预算执行率权重：</w:t>
            </w:r>
          </w:p>
        </w:tc>
        <w:tc>
          <w:tcPr>
            <w:tcW w:w="2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项目经办人电话：</w:t>
            </w:r>
          </w:p>
        </w:tc>
        <w:tc>
          <w:tcPr>
            <w:tcW w:w="31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15334591899</w:t>
            </w: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其中: 财政资金：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30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7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年度目标：</w:t>
            </w:r>
          </w:p>
        </w:tc>
        <w:tc>
          <w:tcPr>
            <w:tcW w:w="7734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 xml:space="preserve">    实时更新邓平寿党性教育基地场馆内容，保持场馆正常运行。</w:t>
            </w: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财政专户管理资金：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34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34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社会投入资金：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734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3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银行贷款：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指标性质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历史参考值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本年指标值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度量单位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权重(%)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本年权重(%)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产出指标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数量指标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培训人次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≥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10000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人次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产出指标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质量指标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培训合格率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≥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%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产出指标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时效指标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培训进度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≤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月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反向指标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效益指标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社会效益指标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项目持续发挥作用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定性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优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优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满意度指标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服务对象满意度指标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培训学员满意率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≥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%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正向指标</w:t>
            </w:r>
          </w:p>
        </w:tc>
      </w:tr>
    </w:tbl>
    <w:p>
      <w:pPr>
        <w:widowControl/>
        <w:snapToGrid w:val="0"/>
        <w:spacing w:line="560" w:lineRule="exact"/>
        <w:jc w:val="center"/>
        <w:rPr>
          <w:rFonts w:eastAsia="方正仿宋_GBK"/>
          <w:kern w:val="0"/>
          <w:sz w:val="32"/>
          <w:szCs w:val="32"/>
        </w:rPr>
      </w:pPr>
      <w:r>
        <w:rPr>
          <w:rFonts w:eastAsia="方正小标宋_GBK"/>
          <w:bCs/>
          <w:color w:val="000000"/>
          <w:kern w:val="0"/>
          <w:sz w:val="36"/>
          <w:szCs w:val="36"/>
        </w:rPr>
        <w:t>2022年项目绩效目标表</w:t>
      </w:r>
    </w:p>
    <w:tbl>
      <w:tblPr>
        <w:tblStyle w:val="4"/>
        <w:tblpPr w:leftFromText="180" w:rightFromText="180" w:vertAnchor="text" w:horzAnchor="margin" w:tblpY="282"/>
        <w:tblOverlap w:val="never"/>
        <w:tblW w:w="1470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1355"/>
        <w:gridCol w:w="1338"/>
        <w:gridCol w:w="80"/>
        <w:gridCol w:w="1196"/>
        <w:gridCol w:w="646"/>
        <w:gridCol w:w="630"/>
        <w:gridCol w:w="850"/>
        <w:gridCol w:w="1276"/>
        <w:gridCol w:w="151"/>
        <w:gridCol w:w="983"/>
        <w:gridCol w:w="851"/>
        <w:gridCol w:w="141"/>
        <w:gridCol w:w="567"/>
        <w:gridCol w:w="851"/>
        <w:gridCol w:w="1213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单位信息：</w:t>
            </w:r>
          </w:p>
        </w:tc>
        <w:tc>
          <w:tcPr>
            <w:tcW w:w="2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中共重庆市梁平区委党校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预算项目：</w:t>
            </w:r>
          </w:p>
        </w:tc>
        <w:tc>
          <w:tcPr>
            <w:tcW w:w="29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党校分校干教经费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职能职责与活动：</w:t>
            </w:r>
          </w:p>
        </w:tc>
        <w:tc>
          <w:tcPr>
            <w:tcW w:w="36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  <w:r>
              <w:rPr>
                <w:rFonts w:ascii="等线" w:hAnsi="等线"/>
                <w:color w:val="000000"/>
                <w:sz w:val="20"/>
                <w:szCs w:val="20"/>
              </w:rPr>
              <w:t>干部教育培训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主管部门：</w:t>
            </w:r>
          </w:p>
        </w:tc>
        <w:tc>
          <w:tcPr>
            <w:tcW w:w="2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中共重庆市梁平区委党校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项目经办人：</w:t>
            </w:r>
          </w:p>
        </w:tc>
        <w:tc>
          <w:tcPr>
            <w:tcW w:w="29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邓兴俊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项目总额：</w:t>
            </w:r>
          </w:p>
        </w:tc>
        <w:tc>
          <w:tcPr>
            <w:tcW w:w="27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预算执行率权重：</w:t>
            </w:r>
          </w:p>
        </w:tc>
        <w:tc>
          <w:tcPr>
            <w:tcW w:w="2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项目经办人电话：</w:t>
            </w:r>
          </w:p>
        </w:tc>
        <w:tc>
          <w:tcPr>
            <w:tcW w:w="29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15334591899</w:t>
            </w: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其中: 财政资金：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7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年度目标：</w:t>
            </w:r>
          </w:p>
        </w:tc>
        <w:tc>
          <w:tcPr>
            <w:tcW w:w="7522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 各党校分校以所属地区机关企事业单位的非领导职务干部及村(社区)"两委"成员、组长、骨干党员、入党积极分子为培训对象，以马克思主义特别是中国特色社会主义理论教育、党的基本理论教育为主课，以形势任务教育、法律法规和党风党纪教育、业务知识和技术技能培训为重点内容，围绕全区改革发展和基层实际工作中的重大理论与现实问题，开展教育培训工作，提高党员干部的综合素质。</w:t>
            </w: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财政专户管理资金：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单位资金：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社会投入资金：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7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22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600" w:firstLineChars="300"/>
              <w:jc w:val="left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银行贷款：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一级指标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二级指标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三级指标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指标性质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历史参考值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指标值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本年指标值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度量单位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权重(%)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本年权重(%)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黑体_GBK" w:hAnsi="宋体" w:eastAsia="方正黑体_GBK" w:cs="宋体"/>
                <w:kern w:val="0"/>
                <w:sz w:val="20"/>
                <w:szCs w:val="20"/>
              </w:rPr>
            </w:pPr>
            <w:r>
              <w:rPr>
                <w:rFonts w:hint="eastAsia" w:ascii="方正黑体_GBK" w:hAnsi="宋体" w:eastAsia="方正黑体_GBK" w:cs="宋体"/>
                <w:kern w:val="0"/>
                <w:sz w:val="20"/>
                <w:szCs w:val="20"/>
              </w:rPr>
              <w:t>指标方向性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产出指标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数量指标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培训人次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≥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人次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小标宋_GBK" w:hAnsi="等线" w:eastAsia="方正小标宋_GBK" w:cs="宋体"/>
                <w:color w:val="000000"/>
                <w:sz w:val="20"/>
                <w:szCs w:val="20"/>
              </w:rPr>
            </w:pPr>
            <w:r>
              <w:rPr>
                <w:rFonts w:hint="eastAsia" w:ascii="方正小标宋_GBK" w:hAnsi="等线" w:eastAsia="方正小标宋_GBK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小标宋_GBK" w:hAnsi="等线" w:eastAsia="方正小标宋_GBK" w:cs="宋体"/>
                <w:color w:val="000000"/>
                <w:sz w:val="20"/>
                <w:szCs w:val="20"/>
              </w:rPr>
            </w:pPr>
            <w:r>
              <w:rPr>
                <w:rFonts w:hint="eastAsia" w:ascii="方正小标宋_GBK" w:hAnsi="等线" w:eastAsia="方正小标宋_GBK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产出指标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质量指标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培训合格率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≥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%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小标宋_GBK" w:hAnsi="等线" w:eastAsia="方正小标宋_GBK" w:cs="宋体"/>
                <w:color w:val="000000"/>
                <w:sz w:val="20"/>
                <w:szCs w:val="20"/>
              </w:rPr>
            </w:pPr>
            <w:r>
              <w:rPr>
                <w:rFonts w:hint="eastAsia" w:ascii="方正小标宋_GBK" w:hAnsi="等线" w:eastAsia="方正小标宋_GBK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小标宋_GBK" w:hAnsi="等线" w:eastAsia="方正小标宋_GBK" w:cs="宋体"/>
                <w:color w:val="000000"/>
                <w:sz w:val="20"/>
                <w:szCs w:val="20"/>
              </w:rPr>
            </w:pPr>
            <w:r>
              <w:rPr>
                <w:rFonts w:hint="eastAsia" w:ascii="方正小标宋_GBK" w:hAnsi="等线" w:eastAsia="方正小标宋_GBK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等线" w:hAnsi="等线"/>
                <w:color w:val="000000"/>
                <w:sz w:val="20"/>
                <w:szCs w:val="20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产出指标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时效指标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培训进度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≤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月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小标宋_GBK" w:hAnsi="等线" w:eastAsia="方正小标宋_GBK" w:cs="宋体"/>
                <w:color w:val="000000"/>
                <w:sz w:val="20"/>
                <w:szCs w:val="20"/>
              </w:rPr>
            </w:pPr>
            <w:r>
              <w:rPr>
                <w:rFonts w:hint="eastAsia" w:ascii="方正小标宋_GBK" w:hAnsi="等线" w:eastAsia="方正小标宋_GBK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小标宋_GBK" w:hAnsi="等线" w:eastAsia="方正小标宋_GBK" w:cs="宋体"/>
                <w:color w:val="000000"/>
                <w:sz w:val="20"/>
                <w:szCs w:val="20"/>
              </w:rPr>
            </w:pPr>
            <w:r>
              <w:rPr>
                <w:rFonts w:hint="eastAsia" w:ascii="方正小标宋_GBK" w:hAnsi="等线" w:eastAsia="方正小标宋_GBK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反向指标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效益指标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社会效益指标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项目持续发挥作用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＝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%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小标宋_GBK" w:hAnsi="等线" w:eastAsia="方正小标宋_GBK" w:cs="宋体"/>
                <w:color w:val="000000"/>
                <w:sz w:val="20"/>
                <w:szCs w:val="20"/>
              </w:rPr>
            </w:pPr>
            <w:r>
              <w:rPr>
                <w:rFonts w:hint="eastAsia" w:ascii="方正小标宋_GBK" w:hAnsi="等线" w:eastAsia="方正小标宋_GBK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小标宋_GBK" w:hAnsi="等线" w:eastAsia="方正小标宋_GBK" w:cs="宋体"/>
                <w:color w:val="000000"/>
                <w:sz w:val="20"/>
                <w:szCs w:val="20"/>
              </w:rPr>
            </w:pPr>
            <w:r>
              <w:rPr>
                <w:rFonts w:hint="eastAsia" w:ascii="方正小标宋_GBK" w:hAnsi="等线" w:eastAsia="方正小标宋_GBK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64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正向指标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3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满意度指标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服务对象满意度指标</w:t>
            </w: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培训学员满意率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≥</w:t>
            </w: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%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小标宋_GBK" w:hAnsi="等线" w:eastAsia="方正小标宋_GBK" w:cs="宋体"/>
                <w:color w:val="000000"/>
                <w:sz w:val="20"/>
                <w:szCs w:val="20"/>
              </w:rPr>
            </w:pPr>
            <w:r>
              <w:rPr>
                <w:rFonts w:hint="eastAsia" w:ascii="方正小标宋_GBK" w:hAnsi="等线" w:eastAsia="方正小标宋_GBK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方正小标宋_GBK" w:hAnsi="等线" w:eastAsia="方正小标宋_GBK" w:cs="宋体"/>
                <w:color w:val="000000"/>
                <w:sz w:val="20"/>
                <w:szCs w:val="20"/>
              </w:rPr>
            </w:pPr>
            <w:r>
              <w:rPr>
                <w:rFonts w:hint="eastAsia" w:ascii="方正小标宋_GBK" w:hAnsi="等线" w:eastAsia="方正小标宋_GBK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0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cs="宋体"/>
                <w:color w:val="000000"/>
                <w:sz w:val="20"/>
                <w:szCs w:val="20"/>
              </w:rPr>
            </w:pPr>
            <w:r>
              <w:rPr>
                <w:rFonts w:ascii="等线" w:hAnsi="等线"/>
                <w:color w:val="000000"/>
                <w:sz w:val="20"/>
                <w:szCs w:val="20"/>
              </w:rPr>
              <w:t>正向指标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sz w:val="28"/>
        <w:szCs w:val="28"/>
      </w:rPr>
      <w:t>一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17</w:t>
    </w:r>
    <w:r>
      <w:rPr>
        <w:sz w:val="28"/>
        <w:szCs w:val="28"/>
      </w:rPr>
      <w:fldChar w:fldCharType="end"/>
    </w:r>
    <w:r>
      <w:rPr>
        <w:sz w:val="28"/>
        <w:szCs w:val="28"/>
      </w:rPr>
      <w:t>一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240519"/>
    <w:rsid w:val="47240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2022-02-23T02:44:00Z</dcterms:created>
  <dc:creator>Administrator</dc:creator>
  <cp:lastModifiedBy>Administrator</cp:lastModifiedBy>
  <dcterms:modified xsi:type="dcterms:W3CDTF">2022-02-23T02:45:36Z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DBECC33D34FF490587908ED8C94C681C</vt:lpwstr>
  </property>
</Properties>
</file>